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7" w:type="pct"/>
        <w:tblCellSpacing w:w="0" w:type="dxa"/>
        <w:tblCellMar>
          <w:top w:w="60" w:type="dxa"/>
          <w:left w:w="60" w:type="dxa"/>
          <w:bottom w:w="60" w:type="dxa"/>
          <w:right w:w="60" w:type="dxa"/>
        </w:tblCellMar>
        <w:tblLook w:val="04A0"/>
      </w:tblPr>
      <w:tblGrid>
        <w:gridCol w:w="45"/>
        <w:gridCol w:w="1433"/>
        <w:gridCol w:w="8157"/>
      </w:tblGrid>
      <w:tr w:rsidR="00FF727B" w:rsidRPr="00FF727B" w:rsidTr="00B029C3">
        <w:trPr>
          <w:tblCellSpacing w:w="0" w:type="dxa"/>
        </w:trPr>
        <w:tc>
          <w:tcPr>
            <w:tcW w:w="1478" w:type="dxa"/>
            <w:gridSpan w:val="2"/>
            <w:vAlign w:val="center"/>
            <w:hideMark/>
          </w:tcPr>
          <w:p w:rsidR="00FF727B" w:rsidRPr="00FF727B" w:rsidRDefault="00FF727B" w:rsidP="00FF727B">
            <w:pPr>
              <w:widowControl/>
              <w:jc w:val="right"/>
              <w:rPr>
                <w:rFonts w:ascii="新細明體" w:hAnsi="新細明體" w:cs="新細明體"/>
                <w:kern w:val="0"/>
              </w:rPr>
            </w:pPr>
            <w:r w:rsidRPr="00FF727B">
              <w:rPr>
                <w:rFonts w:ascii="新細明體" w:hAnsi="新細明體" w:cs="新細明體"/>
                <w:kern w:val="0"/>
              </w:rPr>
              <w:t>法規名稱：</w:t>
            </w:r>
          </w:p>
        </w:tc>
        <w:tc>
          <w:tcPr>
            <w:tcW w:w="8157" w:type="dxa"/>
            <w:vAlign w:val="center"/>
            <w:hideMark/>
          </w:tcPr>
          <w:p w:rsidR="00FF727B" w:rsidRPr="00FF727B" w:rsidRDefault="00FF727B" w:rsidP="00FF727B">
            <w:pPr>
              <w:widowControl/>
              <w:rPr>
                <w:rFonts w:ascii="新細明體" w:hAnsi="新細明體" w:cs="新細明體"/>
                <w:b/>
                <w:kern w:val="0"/>
                <w:sz w:val="36"/>
                <w:szCs w:val="36"/>
              </w:rPr>
            </w:pPr>
            <w:hyperlink r:id="rId5" w:history="1">
              <w:r w:rsidRPr="00FF727B">
                <w:rPr>
                  <w:rFonts w:ascii="新細明體" w:hAnsi="新細明體" w:cs="新細明體"/>
                  <w:b/>
                  <w:color w:val="017CA5"/>
                  <w:kern w:val="0"/>
                  <w:sz w:val="36"/>
                  <w:szCs w:val="36"/>
                  <w:u w:val="single"/>
                </w:rPr>
                <w:t>花蓮縣國民中小學處理學生申訴案件實施要點</w:t>
              </w:r>
            </w:hyperlink>
          </w:p>
        </w:tc>
      </w:tr>
      <w:tr w:rsidR="00FF727B" w:rsidRPr="00FF727B" w:rsidTr="00B029C3">
        <w:trPr>
          <w:tblCellSpacing w:w="0" w:type="dxa"/>
        </w:trPr>
        <w:tc>
          <w:tcPr>
            <w:tcW w:w="1478" w:type="dxa"/>
            <w:gridSpan w:val="2"/>
            <w:hideMark/>
          </w:tcPr>
          <w:p w:rsidR="00FF727B" w:rsidRPr="00FF727B" w:rsidRDefault="00FF727B" w:rsidP="00FF727B">
            <w:pPr>
              <w:widowControl/>
              <w:jc w:val="right"/>
              <w:rPr>
                <w:rFonts w:ascii="新細明體" w:hAnsi="新細明體" w:cs="新細明體"/>
                <w:kern w:val="0"/>
              </w:rPr>
            </w:pPr>
            <w:r w:rsidRPr="00FF727B">
              <w:rPr>
                <w:rFonts w:ascii="新細明體" w:hAnsi="新細明體" w:cs="新細明體"/>
                <w:kern w:val="0"/>
              </w:rPr>
              <w:t>訂定時間：</w:t>
            </w:r>
          </w:p>
        </w:tc>
        <w:tc>
          <w:tcPr>
            <w:tcW w:w="8157" w:type="dxa"/>
            <w:vAlign w:val="center"/>
            <w:hideMark/>
          </w:tcPr>
          <w:p w:rsidR="00FF727B" w:rsidRDefault="00FF727B" w:rsidP="00FF727B">
            <w:pPr>
              <w:widowControl/>
              <w:rPr>
                <w:rFonts w:ascii="新細明體" w:hAnsi="新細明體" w:cs="新細明體" w:hint="eastAsia"/>
                <w:kern w:val="0"/>
              </w:rPr>
            </w:pPr>
            <w:r w:rsidRPr="00FF727B">
              <w:rPr>
                <w:rFonts w:ascii="新細明體" w:hAnsi="新細明體" w:cs="新細明體"/>
                <w:kern w:val="0"/>
              </w:rPr>
              <w:t>中華民國102年10月23日</w:t>
            </w:r>
          </w:p>
          <w:p w:rsidR="009B4732" w:rsidRDefault="009B4732" w:rsidP="00FF727B">
            <w:pPr>
              <w:widowControl/>
              <w:rPr>
                <w:rFonts w:ascii="新細明體" w:hAnsi="新細明體" w:cs="新細明體" w:hint="eastAsia"/>
                <w:kern w:val="0"/>
              </w:rPr>
            </w:pPr>
          </w:p>
          <w:p w:rsidR="009B4732" w:rsidRPr="00FF727B" w:rsidRDefault="009B4732" w:rsidP="00FF727B">
            <w:pPr>
              <w:widowControl/>
              <w:rPr>
                <w:rFonts w:ascii="新細明體" w:hAnsi="新細明體" w:cs="新細明體"/>
                <w:kern w:val="0"/>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b/>
                <w:bCs/>
                <w:kern w:val="0"/>
                <w:sz w:val="28"/>
                <w:szCs w:val="28"/>
              </w:rPr>
            </w:pPr>
            <w:r w:rsidRPr="00FF727B">
              <w:rPr>
                <w:rFonts w:ascii="細明體" w:eastAsia="細明體" w:hAnsi="細明體" w:cs="細明體" w:hint="eastAsia"/>
                <w:b/>
                <w:bCs/>
                <w:kern w:val="0"/>
                <w:sz w:val="28"/>
                <w:szCs w:val="28"/>
              </w:rPr>
              <w:t xml:space="preserve">  壹、依據及組織</w:t>
            </w: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一、本要點依據教育基本法第15條及國民教育法第二十條之一規定訂定之。</w:t>
            </w:r>
          </w:p>
          <w:p w:rsidR="00B029C3" w:rsidRPr="00FF727B" w:rsidRDefault="00B029C3"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二、本縣各國民中小學（含私立學校；以下簡稱各校）應依據本要點，設 學生申訴評議委員會（以下簡稱申訴委員會）處理學生或其法定代理人對於學校所為之行政處分，認為違法或不當致損害其權益有所不服 而提出申訴者。</w:t>
            </w:r>
          </w:p>
          <w:p w:rsidR="00B029C3" w:rsidRPr="00FF727B" w:rsidRDefault="00B029C3"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三、各校申訴委員會置委員七至十五人，單一性別不得少於三分之一，由校長就下列人員聘任之，由行政代表或教師代表中推舉一人為主席：</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（一）行政代表二至三人，其中輔導主任或輔導承辦人為當然委員。</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（二）教師代表一至五人。</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（三）家長會代表二至三人。</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（四）學生代表一至二人。</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（五）校外教育、心理、法律專家或公正人士一至二人。</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申訴委員會委員不得兼任獎懲委員會委員。</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遴聘學生代表擔任委員時，應取得其法定代理人之同意。</w:t>
            </w:r>
          </w:p>
          <w:p w:rsid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委員任期一年，均為無給職，期滿得續聘之。委員因故出缺時，得由校長另聘繼任委員，其任期至原任期屆滿之日止。</w:t>
            </w:r>
          </w:p>
          <w:p w:rsidR="00B029C3" w:rsidRPr="00FF727B" w:rsidRDefault="00B029C3"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四、委員會開會時，應有委員三分之二以上親自出席，始得開議。申訴之決定應經出席委員二分之一以上同意，始得決議。</w:t>
            </w:r>
          </w:p>
          <w:p w:rsidR="00FF727B" w:rsidRPr="00B029C3"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委員會審議案件涉及個別委員之利害關係時，該委員應自行或依委員會決議迴避之。</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b/>
                <w:bCs/>
                <w:kern w:val="0"/>
                <w:sz w:val="28"/>
                <w:szCs w:val="28"/>
              </w:rPr>
            </w:pPr>
            <w:r w:rsidRPr="00FF727B">
              <w:rPr>
                <w:rFonts w:ascii="細明體" w:eastAsia="細明體" w:hAnsi="細明體" w:cs="細明體" w:hint="eastAsia"/>
                <w:b/>
                <w:bCs/>
                <w:kern w:val="0"/>
                <w:sz w:val="28"/>
                <w:szCs w:val="28"/>
              </w:rPr>
              <w:lastRenderedPageBreak/>
              <w:t xml:space="preserve">  貳、申訴之提出</w:t>
            </w: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五、學生、學生之法定代理人或其受託人〈以下簡稱申訴人〉認為學校所為之行政處分違法或不當，致損及其個人權益有所不服者，得於處分結果確定後三十日內，向學校申訴委員會提出申訴，提起申訴時，應以書面向學校提出。（學生申訴書格式參考附件一）</w:t>
            </w:r>
          </w:p>
          <w:p w:rsidR="00FF727B" w:rsidRPr="00FF727B" w:rsidRDefault="00FF727B" w:rsidP="00B029C3">
            <w:pPr>
              <w:widowControl/>
              <w:spacing w:afterLines="50" w:line="0" w:lineRule="atLeast"/>
              <w:jc w:val="both"/>
              <w:rPr>
                <w:rFonts w:ascii="新細明體" w:hAnsi="新細明體" w:cs="新細明體"/>
                <w:kern w:val="0"/>
                <w:sz w:val="28"/>
                <w:szCs w:val="28"/>
              </w:rPr>
            </w:pPr>
            <w:hyperlink r:id="rId6" w:history="1">
              <w:r w:rsidRPr="00B029C3">
                <w:rPr>
                  <w:rFonts w:ascii="新細明體" w:hAnsi="新細明體" w:cs="新細明體"/>
                  <w:color w:val="017CA5"/>
                  <w:kern w:val="0"/>
                  <w:sz w:val="28"/>
                  <w:szCs w:val="28"/>
                  <w:u w:val="single"/>
                </w:rPr>
                <w:t>附件一-花蓮縣國民學學生申訴書（參考格式）</w:t>
              </w:r>
            </w:hyperlink>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六、各校申訴委員會應於收到申訴書之次日起二十日內開會作成評議決定書</w:t>
            </w:r>
            <w:r w:rsidR="00B029C3">
              <w:rPr>
                <w:rFonts w:ascii="細明體" w:eastAsia="細明體" w:hAnsi="細明體" w:cs="細明體"/>
                <w:kern w:val="0"/>
                <w:sz w:val="28"/>
                <w:szCs w:val="28"/>
              </w:rPr>
              <w:br/>
            </w:r>
            <w:r w:rsidRPr="00FF727B">
              <w:rPr>
                <w:rFonts w:ascii="細明體" w:eastAsia="細明體" w:hAnsi="細明體" w:cs="細明體" w:hint="eastAsia"/>
                <w:kern w:val="0"/>
                <w:sz w:val="28"/>
                <w:szCs w:val="28"/>
              </w:rPr>
              <w:t>（格式參考附件二）。逾越申訴期間之申訴案件，得不予受理。但有充分理由並提出具體證明處分應重新審議者，不在此限。</w:t>
            </w:r>
          </w:p>
          <w:p w:rsidR="00FF727B" w:rsidRPr="00B029C3" w:rsidRDefault="00FF727B" w:rsidP="00B029C3">
            <w:pPr>
              <w:widowControl/>
              <w:spacing w:afterLines="50" w:line="0" w:lineRule="atLeast"/>
              <w:jc w:val="both"/>
              <w:rPr>
                <w:rFonts w:ascii="新細明體" w:hAnsi="新細明體" w:cs="新細明體" w:hint="eastAsia"/>
                <w:kern w:val="0"/>
                <w:sz w:val="28"/>
                <w:szCs w:val="28"/>
              </w:rPr>
            </w:pPr>
            <w:hyperlink r:id="rId7" w:history="1">
              <w:r w:rsidRPr="00B029C3">
                <w:rPr>
                  <w:rFonts w:ascii="新細明體" w:hAnsi="新細明體" w:cs="新細明體"/>
                  <w:color w:val="017CA5"/>
                  <w:kern w:val="0"/>
                  <w:sz w:val="28"/>
                  <w:szCs w:val="28"/>
                  <w:u w:val="single"/>
                </w:rPr>
                <w:t>附件二-花蓮縣國民學學生申訴評議委員會評議決定書(參考格式)</w:t>
              </w:r>
            </w:hyperlink>
          </w:p>
          <w:p w:rsidR="00A4728F" w:rsidRPr="00FF727B" w:rsidRDefault="00A4728F"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七、申訴委員會之審議，以不公開為原則。並應通知申訴人、原處分單位代表或其他關係人到會說明。</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申訴委員會之審議，以書面審查為原則。必要時得經委員決議，推派委員組成調查小組，執行實地調查或訪談。</w:t>
            </w:r>
          </w:p>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 xml:space="preserve">    申訴案件之決議採舉手表決方式為原則，必要時亦得採無記名投票方式決議。</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八、評議決定書應經校長簽署後，送達申訴人。評議決定書應製作二份，一份依行政程序法之送達規定送申訴人，一份送申訴委員會備查。</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560" w:hangingChars="200" w:hanging="56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九、申訴委員會之評議、表決及其他委員個別意見，應對外嚴守秘密，涉及學生隱私之申訴案與申訴人之基本資料均應予以保密。</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十、申訴人得於申訴確定前，撤回其所提之申訴。</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840" w:hangingChars="300" w:hanging="84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十一、申訴案決議後，如原處分單位認為有與法令抵觸或事實上窒礙難行者，應列舉具體理由，依行政程序陳報校長，校長如認為理由充份，得交付申訴委員會再議，並以一次為限。</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840" w:hangingChars="300" w:hanging="84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lastRenderedPageBreak/>
              <w:t>十二、對已決定或撤回之申訴案件就同一原因事實不得重行提起申訴。但於收到申訴評議書後三十日內另提出新事證者，得提出再申訴，以一次為限。</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十三、學校應指定專人或專責單位，辦理學生申訴委員會相關行政作業事宜。</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840" w:hangingChars="300" w:hanging="84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十四、學生不服學校處分，未經學校申訴途徑逕向縣府提出申訴者，縣府將該申訴案移轉學校時，學校應依照學生申訴程序處理。</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b/>
                <w:bCs/>
                <w:kern w:val="0"/>
                <w:sz w:val="28"/>
                <w:szCs w:val="28"/>
              </w:rPr>
            </w:pPr>
            <w:r w:rsidRPr="00FF727B">
              <w:rPr>
                <w:rFonts w:ascii="細明體" w:eastAsia="細明體" w:hAnsi="細明體" w:cs="細明體" w:hint="eastAsia"/>
                <w:b/>
                <w:bCs/>
                <w:kern w:val="0"/>
                <w:sz w:val="28"/>
                <w:szCs w:val="28"/>
              </w:rPr>
              <w:t xml:space="preserve">  參、確認生效</w:t>
            </w: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十五、申訴決定確定後，即生拘束教師及申訴人之效力。</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b/>
                <w:bCs/>
                <w:kern w:val="0"/>
                <w:sz w:val="28"/>
                <w:szCs w:val="28"/>
              </w:rPr>
            </w:pPr>
            <w:r w:rsidRPr="00FF727B">
              <w:rPr>
                <w:rFonts w:ascii="細明體" w:eastAsia="細明體" w:hAnsi="細明體" w:cs="細明體" w:hint="eastAsia"/>
                <w:b/>
                <w:bCs/>
                <w:kern w:val="0"/>
                <w:sz w:val="28"/>
                <w:szCs w:val="28"/>
              </w:rPr>
              <w:t xml:space="preserve">  肆、附則</w:t>
            </w: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ind w:left="840" w:hangingChars="300" w:hanging="840"/>
              <w:jc w:val="both"/>
              <w:rPr>
                <w:rFonts w:ascii="細明體" w:eastAsia="細明體" w:hAnsi="細明體" w:cs="細明體" w:hint="eastAsia"/>
                <w:kern w:val="0"/>
                <w:sz w:val="28"/>
                <w:szCs w:val="28"/>
              </w:rPr>
            </w:pPr>
            <w:r w:rsidRPr="00FF727B">
              <w:rPr>
                <w:rFonts w:ascii="細明體" w:eastAsia="細明體" w:hAnsi="細明體" w:cs="細明體" w:hint="eastAsia"/>
                <w:kern w:val="0"/>
                <w:sz w:val="28"/>
                <w:szCs w:val="28"/>
              </w:rPr>
              <w:t>十六、各校處理學生申訴事件，均應依本要點規定辦理之。但基於特殊教育目的或有因校制宜之必要而需另訂規定者，應報本府核定後實施。</w:t>
            </w:r>
          </w:p>
          <w:p w:rsidR="00FF727B" w:rsidRPr="00FF727B" w:rsidRDefault="00FF727B" w:rsidP="00B029C3">
            <w:pPr>
              <w:widowControl/>
              <w:spacing w:afterLines="50" w:line="0" w:lineRule="atLeast"/>
              <w:jc w:val="both"/>
              <w:rPr>
                <w:rFonts w:ascii="新細明體" w:hAnsi="新細明體" w:cs="新細明體"/>
                <w:kern w:val="0"/>
                <w:sz w:val="28"/>
                <w:szCs w:val="28"/>
              </w:rPr>
            </w:pPr>
          </w:p>
        </w:tc>
      </w:tr>
      <w:tr w:rsidR="00FF727B" w:rsidRPr="00FF727B" w:rsidTr="00B029C3">
        <w:tblPrEx>
          <w:tblCellSpacing w:w="0" w:type="nil"/>
          <w:tblCellMar>
            <w:top w:w="15" w:type="dxa"/>
            <w:left w:w="15" w:type="dxa"/>
            <w:bottom w:w="15" w:type="dxa"/>
            <w:right w:w="15" w:type="dxa"/>
          </w:tblCellMar>
        </w:tblPrEx>
        <w:trPr>
          <w:gridBefore w:val="1"/>
          <w:wBefore w:w="45" w:type="dxa"/>
        </w:trPr>
        <w:tc>
          <w:tcPr>
            <w:tcW w:w="9590" w:type="dxa"/>
            <w:gridSpan w:val="2"/>
            <w:hideMark/>
          </w:tcPr>
          <w:p w:rsidR="00FF727B" w:rsidRPr="00FF727B" w:rsidRDefault="00FF727B" w:rsidP="00B0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0" w:lineRule="atLeast"/>
              <w:jc w:val="both"/>
              <w:rPr>
                <w:rFonts w:ascii="細明體" w:eastAsia="細明體" w:hAnsi="細明體" w:cs="細明體"/>
                <w:kern w:val="0"/>
                <w:sz w:val="28"/>
                <w:szCs w:val="28"/>
              </w:rPr>
            </w:pPr>
            <w:r w:rsidRPr="00FF727B">
              <w:rPr>
                <w:rFonts w:ascii="細明體" w:eastAsia="細明體" w:hAnsi="細明體" w:cs="細明體" w:hint="eastAsia"/>
                <w:kern w:val="0"/>
                <w:sz w:val="28"/>
                <w:szCs w:val="28"/>
              </w:rPr>
              <w:t>十七、本要點自發布日實施。</w:t>
            </w:r>
          </w:p>
        </w:tc>
      </w:tr>
    </w:tbl>
    <w:p w:rsidR="009E6CB0" w:rsidRPr="00B029C3" w:rsidRDefault="009E6CB0" w:rsidP="00B029C3">
      <w:pPr>
        <w:spacing w:afterLines="50" w:line="0" w:lineRule="atLeast"/>
        <w:jc w:val="both"/>
        <w:rPr>
          <w:sz w:val="28"/>
          <w:szCs w:val="28"/>
        </w:rPr>
      </w:pPr>
    </w:p>
    <w:sectPr w:rsidR="009E6CB0" w:rsidRPr="00B029C3" w:rsidSect="00FF727B">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1FC8"/>
    <w:multiLevelType w:val="multilevel"/>
    <w:tmpl w:val="6E10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27B"/>
    <w:rsid w:val="003075C8"/>
    <w:rsid w:val="009202DF"/>
    <w:rsid w:val="009752AE"/>
    <w:rsid w:val="009B4732"/>
    <w:rsid w:val="009E6CB0"/>
    <w:rsid w:val="00A4728F"/>
    <w:rsid w:val="00B029C3"/>
    <w:rsid w:val="00FF72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AE"/>
    <w:pPr>
      <w:widowControl w:val="0"/>
    </w:pPr>
    <w:rPr>
      <w:kern w:val="2"/>
      <w:sz w:val="24"/>
      <w:szCs w:val="24"/>
    </w:rPr>
  </w:style>
  <w:style w:type="paragraph" w:styleId="1">
    <w:name w:val="heading 1"/>
    <w:basedOn w:val="a"/>
    <w:next w:val="a"/>
    <w:link w:val="10"/>
    <w:qFormat/>
    <w:rsid w:val="009752AE"/>
    <w:pPr>
      <w:keepNext/>
      <w:spacing w:line="480" w:lineRule="exact"/>
      <w:jc w:val="center"/>
      <w:outlineLvl w:val="0"/>
    </w:pPr>
    <w:rPr>
      <w:rFonts w:eastAsia="標楷體"/>
      <w:sz w:val="28"/>
    </w:rPr>
  </w:style>
  <w:style w:type="paragraph" w:styleId="3">
    <w:name w:val="heading 3"/>
    <w:basedOn w:val="a"/>
    <w:link w:val="30"/>
    <w:uiPriority w:val="9"/>
    <w:qFormat/>
    <w:rsid w:val="00FF727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52AE"/>
    <w:rPr>
      <w:rFonts w:eastAsia="標楷體"/>
      <w:kern w:val="2"/>
      <w:sz w:val="28"/>
      <w:szCs w:val="24"/>
    </w:rPr>
  </w:style>
  <w:style w:type="character" w:customStyle="1" w:styleId="30">
    <w:name w:val="標題 3 字元"/>
    <w:basedOn w:val="a0"/>
    <w:link w:val="3"/>
    <w:uiPriority w:val="9"/>
    <w:rsid w:val="00FF727B"/>
    <w:rPr>
      <w:rFonts w:ascii="新細明體" w:hAnsi="新細明體" w:cs="新細明體"/>
      <w:b/>
      <w:bCs/>
      <w:sz w:val="27"/>
      <w:szCs w:val="27"/>
    </w:rPr>
  </w:style>
  <w:style w:type="character" w:styleId="a3">
    <w:name w:val="Hyperlink"/>
    <w:basedOn w:val="a0"/>
    <w:uiPriority w:val="99"/>
    <w:semiHidden/>
    <w:unhideWhenUsed/>
    <w:rsid w:val="00FF727B"/>
    <w:rPr>
      <w:color w:val="0000FF"/>
      <w:u w:val="single"/>
    </w:rPr>
  </w:style>
  <w:style w:type="character" w:customStyle="1" w:styleId="apple-converted-space">
    <w:name w:val="apple-converted-space"/>
    <w:basedOn w:val="a0"/>
    <w:rsid w:val="00FF727B"/>
  </w:style>
  <w:style w:type="paragraph" w:styleId="HTML">
    <w:name w:val="HTML Preformatted"/>
    <w:basedOn w:val="a"/>
    <w:link w:val="HTML0"/>
    <w:uiPriority w:val="99"/>
    <w:unhideWhenUsed/>
    <w:rsid w:val="00FF7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FF727B"/>
    <w:rPr>
      <w:rFonts w:ascii="細明體" w:eastAsia="細明體" w:hAnsi="細明體" w:cs="細明體"/>
      <w:sz w:val="24"/>
      <w:szCs w:val="24"/>
    </w:rPr>
  </w:style>
  <w:style w:type="paragraph" w:styleId="a4">
    <w:name w:val="Balloon Text"/>
    <w:basedOn w:val="a"/>
    <w:link w:val="a5"/>
    <w:uiPriority w:val="99"/>
    <w:semiHidden/>
    <w:unhideWhenUsed/>
    <w:rsid w:val="00FF727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F727B"/>
    <w:rPr>
      <w:rFonts w:asciiTheme="majorHAnsi" w:eastAsiaTheme="majorEastAsia" w:hAnsiTheme="majorHAnsi" w:cstheme="majorBidi"/>
      <w:kern w:val="2"/>
      <w:sz w:val="18"/>
      <w:szCs w:val="18"/>
    </w:rPr>
  </w:style>
  <w:style w:type="paragraph" w:styleId="a6">
    <w:name w:val="List Paragraph"/>
    <w:basedOn w:val="a"/>
    <w:uiPriority w:val="34"/>
    <w:qFormat/>
    <w:rsid w:val="00B029C3"/>
    <w:pPr>
      <w:ind w:leftChars="200" w:left="480"/>
    </w:pPr>
  </w:style>
</w:styles>
</file>

<file path=word/webSettings.xml><?xml version="1.0" encoding="utf-8"?>
<w:webSettings xmlns:r="http://schemas.openxmlformats.org/officeDocument/2006/relationships" xmlns:w="http://schemas.openxmlformats.org/wordprocessingml/2006/main">
  <w:divs>
    <w:div w:id="771974169">
      <w:bodyDiv w:val="1"/>
      <w:marLeft w:val="0"/>
      <w:marRight w:val="0"/>
      <w:marTop w:val="0"/>
      <w:marBottom w:val="0"/>
      <w:divBdr>
        <w:top w:val="none" w:sz="0" w:space="0" w:color="auto"/>
        <w:left w:val="none" w:sz="0" w:space="0" w:color="auto"/>
        <w:bottom w:val="none" w:sz="0" w:space="0" w:color="auto"/>
        <w:right w:val="none" w:sz="0" w:space="0" w:color="auto"/>
      </w:divBdr>
      <w:divsChild>
        <w:div w:id="1329868159">
          <w:marLeft w:val="0"/>
          <w:marRight w:val="0"/>
          <w:marTop w:val="0"/>
          <w:marBottom w:val="150"/>
          <w:divBdr>
            <w:top w:val="none" w:sz="0" w:space="0" w:color="auto"/>
            <w:left w:val="none" w:sz="0" w:space="0" w:color="auto"/>
            <w:bottom w:val="none" w:sz="0" w:space="0" w:color="auto"/>
            <w:right w:val="none" w:sz="0" w:space="0" w:color="auto"/>
          </w:divBdr>
          <w:divsChild>
            <w:div w:id="126092876">
              <w:marLeft w:val="0"/>
              <w:marRight w:val="0"/>
              <w:marTop w:val="0"/>
              <w:marBottom w:val="0"/>
              <w:divBdr>
                <w:top w:val="none" w:sz="0" w:space="0" w:color="auto"/>
                <w:left w:val="single" w:sz="6" w:space="0" w:color="AB9963"/>
                <w:bottom w:val="none" w:sz="0" w:space="0" w:color="auto"/>
                <w:right w:val="single" w:sz="6" w:space="0" w:color="AB9963"/>
              </w:divBdr>
              <w:divsChild>
                <w:div w:id="43061944">
                  <w:marLeft w:val="0"/>
                  <w:marRight w:val="0"/>
                  <w:marTop w:val="150"/>
                  <w:marBottom w:val="150"/>
                  <w:divBdr>
                    <w:top w:val="none" w:sz="0" w:space="0" w:color="auto"/>
                    <w:left w:val="none" w:sz="0" w:space="0" w:color="auto"/>
                    <w:bottom w:val="none" w:sz="0" w:space="0" w:color="auto"/>
                    <w:right w:val="none" w:sz="0" w:space="0" w:color="auto"/>
                  </w:divBdr>
                </w:div>
                <w:div w:id="954092683">
                  <w:marLeft w:val="0"/>
                  <w:marRight w:val="0"/>
                  <w:marTop w:val="150"/>
                  <w:marBottom w:val="150"/>
                  <w:divBdr>
                    <w:top w:val="none" w:sz="0" w:space="0" w:color="auto"/>
                    <w:left w:val="none" w:sz="0" w:space="0" w:color="auto"/>
                    <w:bottom w:val="none" w:sz="0" w:space="0" w:color="auto"/>
                    <w:right w:val="none" w:sz="0" w:space="0" w:color="auto"/>
                  </w:divBdr>
                </w:div>
              </w:divsChild>
            </w:div>
            <w:div w:id="184293897">
              <w:marLeft w:val="0"/>
              <w:marRight w:val="0"/>
              <w:marTop w:val="0"/>
              <w:marBottom w:val="0"/>
              <w:divBdr>
                <w:top w:val="none" w:sz="0" w:space="0" w:color="auto"/>
                <w:left w:val="none" w:sz="0" w:space="0" w:color="auto"/>
                <w:bottom w:val="none" w:sz="0" w:space="0" w:color="auto"/>
                <w:right w:val="none" w:sz="0" w:space="0" w:color="auto"/>
              </w:divBdr>
            </w:div>
          </w:divsChild>
        </w:div>
        <w:div w:id="1499345164">
          <w:marLeft w:val="0"/>
          <w:marRight w:val="0"/>
          <w:marTop w:val="0"/>
          <w:marBottom w:val="150"/>
          <w:divBdr>
            <w:top w:val="none" w:sz="0" w:space="0" w:color="auto"/>
            <w:left w:val="none" w:sz="0" w:space="0" w:color="auto"/>
            <w:bottom w:val="none" w:sz="0" w:space="0" w:color="auto"/>
            <w:right w:val="none" w:sz="0" w:space="0" w:color="auto"/>
          </w:divBdr>
          <w:divsChild>
            <w:div w:id="70667447">
              <w:marLeft w:val="0"/>
              <w:marRight w:val="0"/>
              <w:marTop w:val="0"/>
              <w:marBottom w:val="0"/>
              <w:divBdr>
                <w:top w:val="none" w:sz="0" w:space="0" w:color="auto"/>
                <w:left w:val="none" w:sz="0" w:space="0" w:color="auto"/>
                <w:bottom w:val="none" w:sz="0" w:space="0" w:color="auto"/>
                <w:right w:val="none" w:sz="0" w:space="0" w:color="auto"/>
              </w:divBdr>
            </w:div>
            <w:div w:id="809590663">
              <w:marLeft w:val="0"/>
              <w:marRight w:val="0"/>
              <w:marTop w:val="0"/>
              <w:marBottom w:val="0"/>
              <w:divBdr>
                <w:top w:val="none" w:sz="0" w:space="0" w:color="auto"/>
                <w:left w:val="none" w:sz="0" w:space="0" w:color="auto"/>
                <w:bottom w:val="none" w:sz="0" w:space="0" w:color="auto"/>
                <w:right w:val="none" w:sz="0" w:space="0" w:color="auto"/>
              </w:divBdr>
            </w:div>
            <w:div w:id="2118210611">
              <w:marLeft w:val="0"/>
              <w:marRight w:val="0"/>
              <w:marTop w:val="0"/>
              <w:marBottom w:val="0"/>
              <w:divBdr>
                <w:top w:val="single" w:sz="6" w:space="0" w:color="CCCCCC"/>
                <w:left w:val="single" w:sz="6" w:space="0" w:color="CCCCCC"/>
                <w:bottom w:val="none" w:sz="0" w:space="0" w:color="auto"/>
                <w:right w:val="single" w:sz="6" w:space="0" w:color="CCCCCC"/>
              </w:divBdr>
              <w:divsChild>
                <w:div w:id="1330140209">
                  <w:marLeft w:val="0"/>
                  <w:marRight w:val="0"/>
                  <w:marTop w:val="75"/>
                  <w:marBottom w:val="75"/>
                  <w:divBdr>
                    <w:top w:val="none" w:sz="0" w:space="0" w:color="auto"/>
                    <w:left w:val="none" w:sz="0" w:space="0" w:color="auto"/>
                    <w:bottom w:val="none" w:sz="0" w:space="0" w:color="auto"/>
                    <w:right w:val="none" w:sz="0" w:space="0" w:color="auto"/>
                  </w:divBdr>
                  <w:divsChild>
                    <w:div w:id="1529446174">
                      <w:marLeft w:val="0"/>
                      <w:marRight w:val="0"/>
                      <w:marTop w:val="0"/>
                      <w:marBottom w:val="0"/>
                      <w:divBdr>
                        <w:top w:val="none" w:sz="0" w:space="0" w:color="auto"/>
                        <w:left w:val="none" w:sz="0" w:space="0" w:color="auto"/>
                        <w:bottom w:val="none" w:sz="0" w:space="0" w:color="auto"/>
                        <w:right w:val="none" w:sz="0" w:space="0" w:color="auto"/>
                      </w:divBdr>
                      <w:divsChild>
                        <w:div w:id="1747262452">
                          <w:marLeft w:val="0"/>
                          <w:marRight w:val="0"/>
                          <w:marTop w:val="0"/>
                          <w:marBottom w:val="0"/>
                          <w:divBdr>
                            <w:top w:val="none" w:sz="0" w:space="0" w:color="auto"/>
                            <w:left w:val="none" w:sz="0" w:space="0" w:color="auto"/>
                            <w:bottom w:val="none" w:sz="0" w:space="0" w:color="auto"/>
                            <w:right w:val="none" w:sz="0" w:space="0" w:color="auto"/>
                          </w:divBdr>
                        </w:div>
                        <w:div w:id="16931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otlaw.com.tw/Attach/L-Doc/B230040001021500-1021023-6000-0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otlaw.com.tw/Attach/L-Doc/B230040001021500-1021023-5000-001.doc" TargetMode="External"/><Relationship Id="rId5" Type="http://schemas.openxmlformats.org/officeDocument/2006/relationships/hyperlink" Target="http://www.rootlaw.com.tw/LawContent.aspx?LawID=B230040001021500-1021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2016-04-29T05:04:00Z</dcterms:created>
  <dcterms:modified xsi:type="dcterms:W3CDTF">2016-04-29T05:31:00Z</dcterms:modified>
</cp:coreProperties>
</file>